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01" w:rsidRDefault="00F24F01" w:rsidP="00111D2D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Итоги проведения ОРВ в Ленинградской области за 2023 год</w:t>
      </w:r>
    </w:p>
    <w:p w:rsidR="00F24F01" w:rsidRDefault="00F24F01" w:rsidP="00F24F01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F24F01" w:rsidRDefault="00F24F01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52EAD">
        <w:rPr>
          <w:rFonts w:eastAsia="Calibri"/>
          <w:sz w:val="28"/>
          <w:szCs w:val="28"/>
          <w:lang w:eastAsia="en-US"/>
        </w:rPr>
        <w:t>За пер</w:t>
      </w:r>
      <w:r>
        <w:rPr>
          <w:rFonts w:eastAsia="Calibri"/>
          <w:sz w:val="28"/>
          <w:szCs w:val="28"/>
          <w:lang w:eastAsia="en-US"/>
        </w:rPr>
        <w:t>иод с 1 января по 31 декабря 2023 года Комитетом экономического развития и инвестиционной деятельности Ленинградской области (далее – Комитет) подготовлено 85 заключений об оценке регулирующего воздействия (далее – ОРВ), в том числе 29 отрицательных</w:t>
      </w:r>
      <w:r w:rsidR="006B56D8">
        <w:rPr>
          <w:rFonts w:eastAsia="Calibri"/>
          <w:sz w:val="28"/>
          <w:szCs w:val="28"/>
          <w:lang w:eastAsia="en-US"/>
        </w:rPr>
        <w:t>, из них 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B56D8">
        <w:rPr>
          <w:rFonts w:eastAsia="Calibri"/>
          <w:sz w:val="28"/>
          <w:szCs w:val="28"/>
          <w:lang w:eastAsia="en-US"/>
        </w:rPr>
        <w:t xml:space="preserve">по 2 проектам областных законов, внесенных депутатами Ленинградской области </w:t>
      </w:r>
      <w:r>
        <w:rPr>
          <w:rFonts w:eastAsia="Calibri"/>
          <w:sz w:val="28"/>
          <w:szCs w:val="28"/>
          <w:lang w:eastAsia="en-US"/>
        </w:rPr>
        <w:t>(см. рис. 1).</w:t>
      </w:r>
    </w:p>
    <w:p w:rsidR="00B70FE6" w:rsidRDefault="00B70FE6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70FE6" w:rsidRDefault="00B70FE6" w:rsidP="00B70FE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70FE6">
        <w:rPr>
          <w:rFonts w:eastAsia="Calibri"/>
          <w:noProof/>
          <w:sz w:val="28"/>
          <w:szCs w:val="28"/>
        </w:rPr>
        <w:drawing>
          <wp:inline distT="0" distB="0" distL="0" distR="0" wp14:anchorId="19E6A298" wp14:editId="3FF84EDA">
            <wp:extent cx="5843016" cy="2715768"/>
            <wp:effectExtent l="38100" t="0" r="24765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24F01" w:rsidRDefault="00F24F01" w:rsidP="00F24F01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F24F01" w:rsidRDefault="00F24F01" w:rsidP="00F24F01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Рис.1. Количество заключений об ОРВ в 202</w:t>
      </w:r>
      <w:r w:rsidR="00B70FE6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году</w:t>
      </w:r>
    </w:p>
    <w:p w:rsidR="00F24F01" w:rsidRDefault="00F24F01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F24F01" w:rsidRDefault="00F24F01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 202</w:t>
      </w:r>
      <w:r w:rsidR="006B56D8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 Комитетом была проведена экспертиза и оценка фактического воздействия (далее – ОФВ) в отношении </w:t>
      </w:r>
      <w:r w:rsidR="00111D2D">
        <w:rPr>
          <w:rFonts w:eastAsia="Calibri"/>
          <w:sz w:val="28"/>
          <w:szCs w:val="28"/>
          <w:lang w:eastAsia="en-US"/>
        </w:rPr>
        <w:t>6</w:t>
      </w:r>
      <w:r w:rsidR="0053340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нормативных</w:t>
      </w:r>
      <w:r w:rsidR="00870FC7">
        <w:rPr>
          <w:rFonts w:eastAsia="Calibri"/>
          <w:sz w:val="28"/>
          <w:szCs w:val="28"/>
          <w:lang w:eastAsia="en-US"/>
        </w:rPr>
        <w:t xml:space="preserve"> правовых </w:t>
      </w:r>
      <w:r>
        <w:rPr>
          <w:rFonts w:eastAsia="Calibri"/>
          <w:sz w:val="28"/>
          <w:szCs w:val="28"/>
          <w:lang w:eastAsia="en-US"/>
        </w:rPr>
        <w:t xml:space="preserve"> актов, по </w:t>
      </w:r>
      <w:r w:rsidR="00111D2D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из них подготовлены отрицательные заключения (см. рис.2). </w:t>
      </w:r>
    </w:p>
    <w:p w:rsidR="00533407" w:rsidRDefault="003C4D7C" w:rsidP="003C4D7C">
      <w:pPr>
        <w:jc w:val="both"/>
        <w:rPr>
          <w:rFonts w:eastAsia="Calibri"/>
          <w:sz w:val="28"/>
          <w:szCs w:val="28"/>
          <w:lang w:eastAsia="en-US"/>
        </w:rPr>
      </w:pPr>
      <w:r w:rsidRPr="003C4D7C">
        <w:rPr>
          <w:rFonts w:eastAsia="Calibri"/>
          <w:noProof/>
          <w:sz w:val="28"/>
          <w:szCs w:val="28"/>
        </w:rPr>
        <w:drawing>
          <wp:inline distT="0" distB="0" distL="0" distR="0" wp14:anchorId="4500187E" wp14:editId="2FB88573">
            <wp:extent cx="6153912" cy="1984248"/>
            <wp:effectExtent l="0" t="0" r="18415" b="165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F24F01" w:rsidRDefault="00F24F01" w:rsidP="00F24F01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111D2D" w:rsidRDefault="00111D2D" w:rsidP="00F24F01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Рис. 2. </w:t>
      </w:r>
      <w:r w:rsidR="00783F79">
        <w:rPr>
          <w:rFonts w:eastAsia="Calibri"/>
          <w:sz w:val="28"/>
          <w:szCs w:val="28"/>
          <w:lang w:eastAsia="en-US"/>
        </w:rPr>
        <w:t>Количество заключений об экспертизе, ОФВ НПА в 2023 году</w:t>
      </w:r>
    </w:p>
    <w:p w:rsidR="00F24F01" w:rsidRPr="006634D6" w:rsidRDefault="00F24F01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F24F01" w:rsidRDefault="00F24F01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В публичных обсуждениях приняли участие </w:t>
      </w:r>
      <w:r w:rsidR="003C4D7C">
        <w:rPr>
          <w:rFonts w:eastAsia="Calibri"/>
          <w:sz w:val="28"/>
          <w:szCs w:val="28"/>
          <w:lang w:eastAsia="en-US"/>
        </w:rPr>
        <w:t>более 500 субъектов</w:t>
      </w:r>
      <w:r>
        <w:rPr>
          <w:rFonts w:eastAsia="Calibri"/>
          <w:sz w:val="28"/>
          <w:szCs w:val="28"/>
          <w:lang w:eastAsia="en-US"/>
        </w:rPr>
        <w:t xml:space="preserve"> предпринимательской деятельности, представителей общественных организаций. Активное участие в обсуждении проектов актов/нормативных актов принимали специалисты аппарата Уполномоченного по защите прав предпринимателей в Ленинградской области.  </w:t>
      </w:r>
    </w:p>
    <w:p w:rsidR="00F24F01" w:rsidRDefault="003C4D7C" w:rsidP="00F24F01">
      <w:pPr>
        <w:ind w:firstLine="567"/>
        <w:jc w:val="both"/>
        <w:rPr>
          <w:rFonts w:eastAsia="Calibri"/>
          <w:noProof/>
          <w:sz w:val="28"/>
          <w:szCs w:val="28"/>
        </w:rPr>
      </w:pPr>
      <w:proofErr w:type="gramStart"/>
      <w:r>
        <w:rPr>
          <w:rFonts w:eastAsia="Calibri"/>
          <w:noProof/>
          <w:sz w:val="28"/>
          <w:szCs w:val="28"/>
        </w:rPr>
        <w:lastRenderedPageBreak/>
        <w:t xml:space="preserve">Наиболее активно приняли участие в таких проектах, как </w:t>
      </w:r>
      <w:r w:rsidRPr="003C4D7C">
        <w:rPr>
          <w:rFonts w:eastAsia="Calibri"/>
          <w:noProof/>
          <w:sz w:val="28"/>
          <w:szCs w:val="28"/>
        </w:rPr>
        <w:t>проект областного закона «О порядке и условиях размещения нестационарных торговых объектов на территории Ленинградской области»</w:t>
      </w:r>
      <w:r w:rsidR="003228ED">
        <w:rPr>
          <w:rFonts w:eastAsia="Calibri"/>
          <w:noProof/>
          <w:sz w:val="28"/>
          <w:szCs w:val="28"/>
        </w:rPr>
        <w:t xml:space="preserve">, </w:t>
      </w:r>
      <w:r w:rsidR="003228ED" w:rsidRPr="003228ED">
        <w:rPr>
          <w:rFonts w:eastAsia="Calibri"/>
          <w:noProof/>
          <w:sz w:val="28"/>
          <w:szCs w:val="28"/>
        </w:rPr>
        <w:t>проект постановления Правительства Ленинградской области «Об урегулировании отдельных вопросов в сфере организации перевозок пассажиров и багажа легковым такси на т</w:t>
      </w:r>
      <w:r w:rsidR="003228ED">
        <w:rPr>
          <w:rFonts w:eastAsia="Calibri"/>
          <w:noProof/>
          <w:sz w:val="28"/>
          <w:szCs w:val="28"/>
        </w:rPr>
        <w:t xml:space="preserve">ерритории Ленинградской области», </w:t>
      </w:r>
      <w:r w:rsidR="005E02F0" w:rsidRPr="005E02F0">
        <w:rPr>
          <w:rFonts w:eastAsia="Calibri"/>
          <w:noProof/>
          <w:sz w:val="28"/>
          <w:szCs w:val="28"/>
        </w:rPr>
        <w:t xml:space="preserve">проект постановления Правительства Ленинградской области </w:t>
      </w:r>
      <w:r w:rsidR="005E02F0">
        <w:rPr>
          <w:rFonts w:eastAsia="Calibri"/>
          <w:noProof/>
          <w:sz w:val="28"/>
          <w:szCs w:val="28"/>
        </w:rPr>
        <w:t>«</w:t>
      </w:r>
      <w:r w:rsidR="003228ED" w:rsidRPr="003228ED">
        <w:rPr>
          <w:rFonts w:eastAsia="Calibri"/>
          <w:noProof/>
          <w:sz w:val="28"/>
          <w:szCs w:val="28"/>
        </w:rPr>
        <w:t>Об утверждении порядка выдачи разрешений на перемещение</w:t>
      </w:r>
      <w:proofErr w:type="gramEnd"/>
      <w:r w:rsidR="003228ED" w:rsidRPr="003228ED">
        <w:rPr>
          <w:rFonts w:eastAsia="Calibri"/>
          <w:noProof/>
          <w:sz w:val="28"/>
          <w:szCs w:val="28"/>
        </w:rPr>
        <w:t xml:space="preserve"> строительных отходов на территории Ленинградской области»</w:t>
      </w:r>
      <w:r w:rsidR="003228ED">
        <w:rPr>
          <w:rFonts w:eastAsia="Calibri"/>
          <w:noProof/>
          <w:sz w:val="28"/>
          <w:szCs w:val="28"/>
        </w:rPr>
        <w:t xml:space="preserve">, </w:t>
      </w:r>
      <w:r w:rsidR="005E02F0">
        <w:rPr>
          <w:rFonts w:eastAsia="Calibri"/>
          <w:noProof/>
          <w:sz w:val="28"/>
          <w:szCs w:val="28"/>
        </w:rPr>
        <w:t>проектах областных законово «О</w:t>
      </w:r>
      <w:r w:rsidR="003228ED" w:rsidRPr="003228ED">
        <w:rPr>
          <w:rFonts w:eastAsia="Calibri"/>
          <w:noProof/>
          <w:sz w:val="28"/>
          <w:szCs w:val="28"/>
        </w:rPr>
        <w:t>б обеспечении реализации полномочий органов государственной власти Ленинградской области и органов местного самоуправления в сфере регулирования оборота этилового спирта, алкогольной и спиртосодержащей продукции на территории Ленинградской области»</w:t>
      </w:r>
      <w:r w:rsidR="003228ED">
        <w:rPr>
          <w:rFonts w:eastAsia="Calibri"/>
          <w:noProof/>
          <w:sz w:val="28"/>
          <w:szCs w:val="28"/>
        </w:rPr>
        <w:t xml:space="preserve">, </w:t>
      </w:r>
      <w:r w:rsidR="005E02F0">
        <w:rPr>
          <w:rFonts w:eastAsia="Calibri"/>
          <w:noProof/>
          <w:sz w:val="28"/>
          <w:szCs w:val="28"/>
        </w:rPr>
        <w:t>проекте приказа «</w:t>
      </w:r>
      <w:r w:rsidR="003228ED" w:rsidRPr="003228ED">
        <w:rPr>
          <w:rFonts w:eastAsia="Calibri"/>
          <w:noProof/>
          <w:sz w:val="28"/>
          <w:szCs w:val="28"/>
        </w:rPr>
        <w:t>Об установлении нормативов накопления твердых коммунальных отходов»</w:t>
      </w:r>
      <w:r w:rsidR="005E02F0">
        <w:rPr>
          <w:rFonts w:eastAsia="Calibri"/>
          <w:noProof/>
          <w:sz w:val="28"/>
          <w:szCs w:val="28"/>
        </w:rPr>
        <w:t>.</w:t>
      </w:r>
    </w:p>
    <w:p w:rsidR="00F24F01" w:rsidRPr="00111D2D" w:rsidRDefault="00F24F01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1D2D">
        <w:rPr>
          <w:rFonts w:eastAsia="Calibri"/>
          <w:sz w:val="28"/>
          <w:szCs w:val="28"/>
          <w:lang w:eastAsia="en-US"/>
        </w:rPr>
        <w:t>Органами местного самоуправления Ленинградской области в 202</w:t>
      </w:r>
      <w:r w:rsidR="00DE4BDF" w:rsidRPr="00111D2D">
        <w:rPr>
          <w:rFonts w:eastAsia="Calibri"/>
          <w:sz w:val="28"/>
          <w:szCs w:val="28"/>
          <w:lang w:eastAsia="en-US"/>
        </w:rPr>
        <w:t>3</w:t>
      </w:r>
      <w:r w:rsidRPr="00111D2D">
        <w:rPr>
          <w:rFonts w:eastAsia="Calibri"/>
          <w:sz w:val="28"/>
          <w:szCs w:val="28"/>
          <w:lang w:eastAsia="en-US"/>
        </w:rPr>
        <w:t xml:space="preserve"> году была проведена процедура ОРВ в отношении </w:t>
      </w:r>
      <w:r w:rsidR="00111D2D" w:rsidRPr="00111D2D">
        <w:rPr>
          <w:rFonts w:eastAsia="Calibri"/>
          <w:sz w:val="28"/>
          <w:szCs w:val="28"/>
          <w:lang w:eastAsia="en-US"/>
        </w:rPr>
        <w:t>184</w:t>
      </w:r>
      <w:r w:rsidRPr="00111D2D">
        <w:rPr>
          <w:rFonts w:eastAsia="Calibri"/>
          <w:sz w:val="28"/>
          <w:szCs w:val="28"/>
          <w:lang w:eastAsia="en-US"/>
        </w:rPr>
        <w:t xml:space="preserve"> проектов муниципальных нормативных правовых актов (в 202</w:t>
      </w:r>
      <w:r w:rsidR="00DE4BDF" w:rsidRPr="00111D2D">
        <w:rPr>
          <w:rFonts w:eastAsia="Calibri"/>
          <w:sz w:val="28"/>
          <w:szCs w:val="28"/>
          <w:lang w:eastAsia="en-US"/>
        </w:rPr>
        <w:t>2</w:t>
      </w:r>
      <w:r w:rsidRPr="00111D2D">
        <w:rPr>
          <w:rFonts w:eastAsia="Calibri"/>
          <w:sz w:val="28"/>
          <w:szCs w:val="28"/>
          <w:lang w:eastAsia="en-US"/>
        </w:rPr>
        <w:t xml:space="preserve"> году  в отношении </w:t>
      </w:r>
      <w:r w:rsidR="00DE4BDF" w:rsidRPr="00111D2D">
        <w:rPr>
          <w:rFonts w:eastAsia="Calibri"/>
          <w:sz w:val="28"/>
          <w:szCs w:val="28"/>
          <w:lang w:eastAsia="en-US"/>
        </w:rPr>
        <w:t>183</w:t>
      </w:r>
      <w:r w:rsidRPr="00111D2D">
        <w:rPr>
          <w:rFonts w:eastAsia="Calibri"/>
          <w:sz w:val="28"/>
          <w:szCs w:val="28"/>
          <w:lang w:eastAsia="en-US"/>
        </w:rPr>
        <w:t xml:space="preserve"> проектов актов), экспертиза и ОФВ в отношении </w:t>
      </w:r>
      <w:r w:rsidR="00111D2D" w:rsidRPr="00111D2D">
        <w:rPr>
          <w:rFonts w:eastAsia="Calibri"/>
          <w:sz w:val="28"/>
          <w:szCs w:val="28"/>
          <w:lang w:eastAsia="en-US"/>
        </w:rPr>
        <w:t>45</w:t>
      </w:r>
      <w:r w:rsidRPr="00111D2D">
        <w:rPr>
          <w:rFonts w:eastAsia="Calibri"/>
          <w:sz w:val="28"/>
          <w:szCs w:val="28"/>
          <w:lang w:eastAsia="en-US"/>
        </w:rPr>
        <w:t xml:space="preserve"> муниципальных нормативных правовых актов (в 202</w:t>
      </w:r>
      <w:r w:rsidR="00DE4BDF" w:rsidRPr="00111D2D">
        <w:rPr>
          <w:rFonts w:eastAsia="Calibri"/>
          <w:sz w:val="28"/>
          <w:szCs w:val="28"/>
          <w:lang w:eastAsia="en-US"/>
        </w:rPr>
        <w:t>2</w:t>
      </w:r>
      <w:r w:rsidRPr="00111D2D">
        <w:rPr>
          <w:rFonts w:eastAsia="Calibri"/>
          <w:sz w:val="28"/>
          <w:szCs w:val="28"/>
          <w:lang w:eastAsia="en-US"/>
        </w:rPr>
        <w:t xml:space="preserve"> году в отношении </w:t>
      </w:r>
      <w:r w:rsidR="00DE4BDF" w:rsidRPr="00111D2D">
        <w:rPr>
          <w:rFonts w:eastAsia="Calibri"/>
          <w:sz w:val="28"/>
          <w:szCs w:val="28"/>
          <w:lang w:eastAsia="en-US"/>
        </w:rPr>
        <w:t>47</w:t>
      </w:r>
      <w:r w:rsidRPr="00111D2D">
        <w:rPr>
          <w:rFonts w:eastAsia="Calibri"/>
          <w:sz w:val="28"/>
          <w:szCs w:val="28"/>
          <w:lang w:eastAsia="en-US"/>
        </w:rPr>
        <w:t xml:space="preserve"> актов).  </w:t>
      </w:r>
    </w:p>
    <w:p w:rsidR="00DE4BDF" w:rsidRDefault="00DE4BDF" w:rsidP="00DE4BDF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F24F01" w:rsidRDefault="00DE4BDF" w:rsidP="00DE4BDF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Изменения нормативно-правовой базы.</w:t>
      </w:r>
    </w:p>
    <w:p w:rsidR="00DE4BDF" w:rsidRDefault="00DE4BDF" w:rsidP="00DE4BD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E4BDF" w:rsidRPr="00DE4BDF" w:rsidRDefault="00DE4BDF" w:rsidP="00DE4B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 апреля 2023 года</w:t>
      </w:r>
      <w:r w:rsidRPr="00DE4BDF">
        <w:rPr>
          <w:rFonts w:eastAsia="Calibri"/>
          <w:sz w:val="28"/>
          <w:szCs w:val="28"/>
          <w:lang w:eastAsia="en-US"/>
        </w:rPr>
        <w:t xml:space="preserve"> принят новый Порядок проведения ОРВ (постановление Правительства области №253).</w:t>
      </w:r>
    </w:p>
    <w:p w:rsidR="00DE4BDF" w:rsidRPr="00DE4BDF" w:rsidRDefault="00DE4BDF" w:rsidP="00DE4B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E4BDF">
        <w:rPr>
          <w:rFonts w:eastAsia="Calibri"/>
          <w:sz w:val="28"/>
          <w:szCs w:val="28"/>
          <w:lang w:eastAsia="en-US"/>
        </w:rPr>
        <w:t xml:space="preserve">При подготовке нового Порядка были учтены изменения в федеральном законодательстве (в части предметной сферы ОРВ), Методические рекомендации, утвержденные приказом Министерства экономического развития Российской Федерации от 23 декабря 2022 года №733. </w:t>
      </w:r>
    </w:p>
    <w:p w:rsidR="00F24F01" w:rsidRDefault="00DE4BDF" w:rsidP="00DE4B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E4BDF">
        <w:rPr>
          <w:rFonts w:eastAsia="Calibri"/>
          <w:sz w:val="28"/>
          <w:szCs w:val="28"/>
          <w:lang w:eastAsia="en-US"/>
        </w:rPr>
        <w:t xml:space="preserve">Кроме того, </w:t>
      </w:r>
      <w:r w:rsidR="00772356">
        <w:rPr>
          <w:rFonts w:eastAsia="Calibri"/>
          <w:sz w:val="28"/>
          <w:szCs w:val="28"/>
          <w:lang w:eastAsia="en-US"/>
        </w:rPr>
        <w:t>Комитетом</w:t>
      </w:r>
      <w:r w:rsidRPr="00DE4BDF">
        <w:rPr>
          <w:rFonts w:eastAsia="Calibri"/>
          <w:sz w:val="28"/>
          <w:szCs w:val="28"/>
          <w:lang w:eastAsia="en-US"/>
        </w:rPr>
        <w:t xml:space="preserve"> была проанализирована практика субъектов РФ, а также практика области, полученная в ходе проведения ОРВ, и введены дополнительные основания для отнесения к низкой степени регулирующего воздействия.</w:t>
      </w:r>
    </w:p>
    <w:p w:rsidR="00DE4BDF" w:rsidRDefault="00DE4BDF" w:rsidP="00DE4B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</w:t>
      </w:r>
      <w:r w:rsidRPr="00DE4BDF">
        <w:rPr>
          <w:rFonts w:eastAsia="Calibri"/>
          <w:sz w:val="28"/>
          <w:szCs w:val="28"/>
          <w:lang w:eastAsia="en-US"/>
        </w:rPr>
        <w:t xml:space="preserve">омитетом </w:t>
      </w:r>
      <w:r>
        <w:rPr>
          <w:rFonts w:eastAsia="Calibri"/>
          <w:sz w:val="28"/>
          <w:szCs w:val="28"/>
          <w:lang w:eastAsia="en-US"/>
        </w:rPr>
        <w:t xml:space="preserve">разработана </w:t>
      </w:r>
      <w:r w:rsidRPr="00DE4BDF">
        <w:rPr>
          <w:rFonts w:eastAsia="Calibri"/>
          <w:sz w:val="28"/>
          <w:szCs w:val="28"/>
          <w:lang w:eastAsia="en-US"/>
        </w:rPr>
        <w:t>нормативн</w:t>
      </w:r>
      <w:r>
        <w:rPr>
          <w:rFonts w:eastAsia="Calibri"/>
          <w:sz w:val="28"/>
          <w:szCs w:val="28"/>
          <w:lang w:eastAsia="en-US"/>
        </w:rPr>
        <w:t xml:space="preserve">ая </w:t>
      </w:r>
      <w:r w:rsidRPr="00DE4BDF">
        <w:rPr>
          <w:rFonts w:eastAsia="Calibri"/>
          <w:sz w:val="28"/>
          <w:szCs w:val="28"/>
          <w:lang w:eastAsia="en-US"/>
        </w:rPr>
        <w:t>правов</w:t>
      </w:r>
      <w:r>
        <w:rPr>
          <w:rFonts w:eastAsia="Calibri"/>
          <w:sz w:val="28"/>
          <w:szCs w:val="28"/>
          <w:lang w:eastAsia="en-US"/>
        </w:rPr>
        <w:t>ая</w:t>
      </w:r>
      <w:r w:rsidRPr="00DE4BDF">
        <w:rPr>
          <w:rFonts w:eastAsia="Calibri"/>
          <w:sz w:val="28"/>
          <w:szCs w:val="28"/>
          <w:lang w:eastAsia="en-US"/>
        </w:rPr>
        <w:t xml:space="preserve"> баз</w:t>
      </w:r>
      <w:r>
        <w:rPr>
          <w:rFonts w:eastAsia="Calibri"/>
          <w:sz w:val="28"/>
          <w:szCs w:val="28"/>
          <w:lang w:eastAsia="en-US"/>
        </w:rPr>
        <w:t>а</w:t>
      </w:r>
      <w:r w:rsidRPr="00DE4BDF">
        <w:rPr>
          <w:rFonts w:eastAsia="Calibri"/>
          <w:sz w:val="28"/>
          <w:szCs w:val="28"/>
          <w:lang w:eastAsia="en-US"/>
        </w:rPr>
        <w:t xml:space="preserve"> по проведению оценки применения обязательных требований (ОПОТ)</w:t>
      </w:r>
      <w:r>
        <w:rPr>
          <w:rFonts w:eastAsia="Calibri"/>
          <w:sz w:val="28"/>
          <w:szCs w:val="28"/>
          <w:lang w:eastAsia="en-US"/>
        </w:rPr>
        <w:t>:</w:t>
      </w:r>
    </w:p>
    <w:p w:rsidR="00DE4BDF" w:rsidRDefault="00DE4BDF" w:rsidP="00DE4B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DE4BDF">
        <w:rPr>
          <w:rFonts w:eastAsia="Calibri"/>
          <w:sz w:val="28"/>
          <w:szCs w:val="28"/>
          <w:lang w:eastAsia="en-US"/>
        </w:rPr>
        <w:t xml:space="preserve">Областной закон Ленинградской области от 15.06.2023 </w:t>
      </w:r>
      <w:r>
        <w:rPr>
          <w:rFonts w:eastAsia="Calibri"/>
          <w:sz w:val="28"/>
          <w:szCs w:val="28"/>
          <w:lang w:eastAsia="en-US"/>
        </w:rPr>
        <w:t>№</w:t>
      </w:r>
      <w:r w:rsidRPr="00DE4BDF">
        <w:rPr>
          <w:rFonts w:eastAsia="Calibri"/>
          <w:sz w:val="28"/>
          <w:szCs w:val="28"/>
          <w:lang w:eastAsia="en-US"/>
        </w:rPr>
        <w:t xml:space="preserve"> 64-</w:t>
      </w:r>
      <w:r w:rsidR="00772356">
        <w:rPr>
          <w:rFonts w:eastAsia="Calibri"/>
          <w:sz w:val="28"/>
          <w:szCs w:val="28"/>
          <w:lang w:eastAsia="en-US"/>
        </w:rPr>
        <w:t>оз «</w:t>
      </w:r>
      <w:r w:rsidRPr="00DE4BDF">
        <w:rPr>
          <w:rFonts w:eastAsia="Calibri"/>
          <w:sz w:val="28"/>
          <w:szCs w:val="28"/>
          <w:lang w:eastAsia="en-US"/>
        </w:rPr>
        <w:t>Об обязательных требованиях, устанавливаемых нормативными правовы</w:t>
      </w:r>
      <w:r w:rsidR="00772356">
        <w:rPr>
          <w:rFonts w:eastAsia="Calibri"/>
          <w:sz w:val="28"/>
          <w:szCs w:val="28"/>
          <w:lang w:eastAsia="en-US"/>
        </w:rPr>
        <w:t>ми актами Ленинградской области»</w:t>
      </w:r>
      <w:r w:rsidRPr="00DE4BDF">
        <w:rPr>
          <w:rFonts w:eastAsia="Calibri"/>
          <w:sz w:val="28"/>
          <w:szCs w:val="28"/>
          <w:lang w:eastAsia="en-US"/>
        </w:rPr>
        <w:t xml:space="preserve"> (принят ЗС ЛО 31.05.2023)</w:t>
      </w:r>
      <w:r>
        <w:rPr>
          <w:rFonts w:eastAsia="Calibri"/>
          <w:sz w:val="28"/>
          <w:szCs w:val="28"/>
          <w:lang w:eastAsia="en-US"/>
        </w:rPr>
        <w:t>;</w:t>
      </w:r>
    </w:p>
    <w:p w:rsidR="00DE4BDF" w:rsidRDefault="00DE4BDF" w:rsidP="00DE4B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DE4BDF">
        <w:rPr>
          <w:rFonts w:eastAsia="Calibri"/>
          <w:sz w:val="28"/>
          <w:szCs w:val="28"/>
          <w:lang w:eastAsia="en-US"/>
        </w:rPr>
        <w:t xml:space="preserve">Постановление Правительства Ленинградской области от 14.07.2023 </w:t>
      </w:r>
      <w:r w:rsidR="00772356"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rFonts w:eastAsia="Calibri"/>
          <w:sz w:val="28"/>
          <w:szCs w:val="28"/>
          <w:lang w:eastAsia="en-US"/>
        </w:rPr>
        <w:t>№</w:t>
      </w:r>
      <w:r w:rsidR="00772356">
        <w:rPr>
          <w:rFonts w:eastAsia="Calibri"/>
          <w:sz w:val="28"/>
          <w:szCs w:val="28"/>
          <w:lang w:eastAsia="en-US"/>
        </w:rPr>
        <w:t xml:space="preserve"> 496 «</w:t>
      </w:r>
      <w:r w:rsidRPr="00DE4BDF">
        <w:rPr>
          <w:rFonts w:eastAsia="Calibri"/>
          <w:sz w:val="28"/>
          <w:szCs w:val="28"/>
          <w:lang w:eastAsia="en-US"/>
        </w:rPr>
        <w:t>Об утверждении Порядка оценки применения обязательных требований, установленных нормативными правовы</w:t>
      </w:r>
      <w:r w:rsidR="00772356">
        <w:rPr>
          <w:rFonts w:eastAsia="Calibri"/>
          <w:sz w:val="28"/>
          <w:szCs w:val="28"/>
          <w:lang w:eastAsia="en-US"/>
        </w:rPr>
        <w:t>ми актами Ленинградской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DE4BDF" w:rsidRDefault="00DE4BDF" w:rsidP="00DE4B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DE4BDF">
        <w:rPr>
          <w:rFonts w:eastAsia="Calibri"/>
          <w:sz w:val="28"/>
          <w:szCs w:val="28"/>
          <w:lang w:eastAsia="en-US"/>
        </w:rPr>
        <w:t>Постановление Правительства Л</w:t>
      </w:r>
      <w:r>
        <w:rPr>
          <w:rFonts w:eastAsia="Calibri"/>
          <w:sz w:val="28"/>
          <w:szCs w:val="28"/>
          <w:lang w:eastAsia="en-US"/>
        </w:rPr>
        <w:t>енинградской области от 12.07.</w:t>
      </w:r>
      <w:r w:rsidRPr="00DE4BDF">
        <w:rPr>
          <w:rFonts w:eastAsia="Calibri"/>
          <w:sz w:val="28"/>
          <w:szCs w:val="28"/>
          <w:lang w:eastAsia="en-US"/>
        </w:rPr>
        <w:t xml:space="preserve">2023 </w:t>
      </w:r>
      <w:r w:rsidR="00772356">
        <w:rPr>
          <w:rFonts w:eastAsia="Calibri"/>
          <w:sz w:val="28"/>
          <w:szCs w:val="28"/>
          <w:lang w:eastAsia="en-US"/>
        </w:rPr>
        <w:t xml:space="preserve">        </w:t>
      </w:r>
      <w:r w:rsidRPr="00DE4BDF">
        <w:rPr>
          <w:rFonts w:eastAsia="Calibri"/>
          <w:sz w:val="28"/>
          <w:szCs w:val="28"/>
          <w:lang w:eastAsia="en-US"/>
        </w:rPr>
        <w:t xml:space="preserve">№ 485 «Об утверждении </w:t>
      </w:r>
      <w:proofErr w:type="gramStart"/>
      <w:r w:rsidRPr="00DE4BDF">
        <w:rPr>
          <w:rFonts w:eastAsia="Calibri"/>
          <w:sz w:val="28"/>
          <w:szCs w:val="28"/>
          <w:lang w:eastAsia="en-US"/>
        </w:rPr>
        <w:t>Порядка проведения оценки фактического воздействия нормативных правовых актов Ленинградской области</w:t>
      </w:r>
      <w:proofErr w:type="gramEnd"/>
      <w:r w:rsidRPr="00DE4BDF">
        <w:rPr>
          <w:rFonts w:eastAsia="Calibri"/>
          <w:sz w:val="28"/>
          <w:szCs w:val="28"/>
          <w:lang w:eastAsia="en-US"/>
        </w:rPr>
        <w:t>»</w:t>
      </w:r>
      <w:r w:rsidR="00772356">
        <w:rPr>
          <w:rFonts w:eastAsia="Calibri"/>
          <w:sz w:val="28"/>
          <w:szCs w:val="28"/>
          <w:lang w:eastAsia="en-US"/>
        </w:rPr>
        <w:t>;</w:t>
      </w:r>
    </w:p>
    <w:p w:rsidR="00DE4BDF" w:rsidRPr="00DE4BDF" w:rsidRDefault="00772356" w:rsidP="0077235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</w:t>
      </w:r>
      <w:r w:rsidR="00DE4BDF" w:rsidRPr="00DE4BDF">
        <w:rPr>
          <w:rFonts w:eastAsia="Calibri"/>
          <w:sz w:val="28"/>
          <w:szCs w:val="28"/>
          <w:lang w:eastAsia="en-US"/>
        </w:rPr>
        <w:t>риказ комитета экономического развития и инвестиционной деятельности Л</w:t>
      </w:r>
      <w:r>
        <w:rPr>
          <w:rFonts w:eastAsia="Calibri"/>
          <w:sz w:val="28"/>
          <w:szCs w:val="28"/>
          <w:lang w:eastAsia="en-US"/>
        </w:rPr>
        <w:t>енинградской области от 27.07.2023</w:t>
      </w:r>
      <w:r w:rsidR="00DE4BDF" w:rsidRPr="00DE4BDF">
        <w:rPr>
          <w:rFonts w:eastAsia="Calibri"/>
          <w:sz w:val="28"/>
          <w:szCs w:val="28"/>
          <w:lang w:eastAsia="en-US"/>
        </w:rPr>
        <w:t xml:space="preserve"> №21-п «Об утверждении </w:t>
      </w:r>
      <w:r w:rsidR="00DE4BDF" w:rsidRPr="00DE4BDF">
        <w:rPr>
          <w:rFonts w:eastAsia="Calibri"/>
          <w:sz w:val="28"/>
          <w:szCs w:val="28"/>
          <w:lang w:eastAsia="en-US"/>
        </w:rPr>
        <w:lastRenderedPageBreak/>
        <w:t>форм документов при проведении оценки применения обязательных требований, установленных нормативными правовыми актами Ленинградской области»</w:t>
      </w:r>
      <w:r>
        <w:rPr>
          <w:rFonts w:eastAsia="Calibri"/>
          <w:sz w:val="28"/>
          <w:szCs w:val="28"/>
          <w:lang w:eastAsia="en-US"/>
        </w:rPr>
        <w:t>.</w:t>
      </w:r>
    </w:p>
    <w:p w:rsidR="00DE4BDF" w:rsidRDefault="00772356" w:rsidP="00DE4BD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Указанные НПА размещены на официальном сайте Комитета </w:t>
      </w:r>
      <w:hyperlink r:id="rId7" w:history="1">
        <w:r w:rsidRPr="00662E5E">
          <w:rPr>
            <w:rStyle w:val="a6"/>
            <w:rFonts w:eastAsia="Calibri"/>
            <w:sz w:val="28"/>
            <w:szCs w:val="28"/>
            <w:lang w:eastAsia="en-US"/>
          </w:rPr>
          <w:t>https://econ.lenobl.ru/ru/budget/obyazatelnye-trebovaniya/</w:t>
        </w:r>
      </w:hyperlink>
      <w:r>
        <w:rPr>
          <w:rFonts w:eastAsia="Calibri"/>
          <w:sz w:val="28"/>
          <w:szCs w:val="28"/>
          <w:lang w:eastAsia="en-US"/>
        </w:rPr>
        <w:t xml:space="preserve">. </w:t>
      </w:r>
      <w:r w:rsidR="00111D2D">
        <w:rPr>
          <w:rFonts w:eastAsia="Calibri"/>
          <w:sz w:val="28"/>
          <w:szCs w:val="28"/>
          <w:lang w:eastAsia="en-US"/>
        </w:rPr>
        <w:t>С</w:t>
      </w:r>
      <w:r w:rsidRPr="00772356">
        <w:rPr>
          <w:rFonts w:eastAsia="Calibri"/>
          <w:sz w:val="28"/>
          <w:szCs w:val="28"/>
          <w:lang w:eastAsia="en-US"/>
        </w:rPr>
        <w:t xml:space="preserve">формирован </w:t>
      </w:r>
      <w:r>
        <w:rPr>
          <w:rFonts w:eastAsia="Calibri"/>
          <w:sz w:val="28"/>
          <w:szCs w:val="28"/>
          <w:lang w:eastAsia="en-US"/>
        </w:rPr>
        <w:t>р</w:t>
      </w:r>
      <w:r w:rsidRPr="00772356">
        <w:rPr>
          <w:rFonts w:eastAsia="Calibri"/>
          <w:sz w:val="28"/>
          <w:szCs w:val="28"/>
          <w:lang w:eastAsia="en-US"/>
        </w:rPr>
        <w:t xml:space="preserve">еестр обязательных требований, установленных нормативными правовыми актами </w:t>
      </w:r>
      <w:r>
        <w:rPr>
          <w:rFonts w:eastAsia="Calibri"/>
          <w:sz w:val="28"/>
          <w:szCs w:val="28"/>
          <w:lang w:eastAsia="en-US"/>
        </w:rPr>
        <w:t>Ленинградской области.</w:t>
      </w:r>
    </w:p>
    <w:p w:rsidR="00DE4BDF" w:rsidRDefault="00772356" w:rsidP="0077235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72356">
        <w:rPr>
          <w:rFonts w:eastAsia="Calibri"/>
          <w:sz w:val="28"/>
          <w:szCs w:val="28"/>
          <w:lang w:eastAsia="en-US"/>
        </w:rPr>
        <w:t xml:space="preserve">На </w:t>
      </w:r>
      <w:r>
        <w:rPr>
          <w:rFonts w:eastAsia="Calibri"/>
          <w:sz w:val="28"/>
          <w:szCs w:val="28"/>
          <w:lang w:eastAsia="en-US"/>
        </w:rPr>
        <w:t xml:space="preserve">портале </w:t>
      </w:r>
      <w:hyperlink r:id="rId8" w:anchor="npa=12467" w:history="1">
        <w:r w:rsidRPr="00662E5E">
          <w:rPr>
            <w:rStyle w:val="a6"/>
            <w:rFonts w:eastAsia="Calibri"/>
            <w:sz w:val="28"/>
            <w:szCs w:val="28"/>
            <w:lang w:eastAsia="en-US"/>
          </w:rPr>
          <w:t>https://regulation.lenreg.ru/projects#npa=12467</w:t>
        </w:r>
      </w:hyperlink>
      <w:r>
        <w:rPr>
          <w:rFonts w:eastAsia="Calibri"/>
          <w:sz w:val="28"/>
          <w:szCs w:val="28"/>
          <w:lang w:eastAsia="en-US"/>
        </w:rPr>
        <w:t xml:space="preserve"> начата ОПОТ в отношении Областного</w:t>
      </w:r>
      <w:r w:rsidRPr="00772356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>а</w:t>
      </w:r>
      <w:r w:rsidRPr="00772356">
        <w:rPr>
          <w:rFonts w:eastAsia="Calibri"/>
          <w:sz w:val="28"/>
          <w:szCs w:val="28"/>
          <w:lang w:eastAsia="en-US"/>
        </w:rPr>
        <w:t xml:space="preserve"> Ленинградской области от 10.11.2011 № 88-оз «Об обеспечении </w:t>
      </w:r>
      <w:proofErr w:type="gramStart"/>
      <w:r w:rsidRPr="00772356">
        <w:rPr>
          <w:rFonts w:eastAsia="Calibri"/>
          <w:sz w:val="28"/>
          <w:szCs w:val="28"/>
          <w:lang w:eastAsia="en-US"/>
        </w:rPr>
        <w:t>реализации полномочий органов государственной власти Ленинградской области</w:t>
      </w:r>
      <w:proofErr w:type="gramEnd"/>
      <w:r w:rsidRPr="00772356">
        <w:rPr>
          <w:rFonts w:eastAsia="Calibri"/>
          <w:sz w:val="28"/>
          <w:szCs w:val="28"/>
          <w:lang w:eastAsia="en-US"/>
        </w:rPr>
        <w:t xml:space="preserve"> в области производства и оборота этилового спирта, алкогольной и спиртосодержащей продукции на территории Ленинградской области»</w:t>
      </w:r>
      <w:r>
        <w:rPr>
          <w:rFonts w:eastAsia="Calibri"/>
          <w:sz w:val="28"/>
          <w:szCs w:val="28"/>
          <w:lang w:eastAsia="en-US"/>
        </w:rPr>
        <w:t>.</w:t>
      </w:r>
    </w:p>
    <w:p w:rsidR="00F24F01" w:rsidRPr="00252EAD" w:rsidRDefault="00772356" w:rsidP="0077235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DE4BDF" w:rsidRPr="00DE4BDF">
        <w:rPr>
          <w:rFonts w:eastAsia="Calibri"/>
          <w:sz w:val="28"/>
          <w:szCs w:val="28"/>
          <w:lang w:eastAsia="en-US"/>
        </w:rPr>
        <w:t>По итогам 202</w:t>
      </w:r>
      <w:r w:rsidR="00DE4BDF">
        <w:rPr>
          <w:rFonts w:eastAsia="Calibri"/>
          <w:sz w:val="28"/>
          <w:szCs w:val="28"/>
          <w:lang w:eastAsia="en-US"/>
        </w:rPr>
        <w:t>3</w:t>
      </w:r>
      <w:r w:rsidR="00DE4BDF" w:rsidRPr="00DE4BDF">
        <w:rPr>
          <w:rFonts w:eastAsia="Calibri"/>
          <w:sz w:val="28"/>
          <w:szCs w:val="28"/>
          <w:lang w:eastAsia="en-US"/>
        </w:rPr>
        <w:t xml:space="preserve"> года Ленинградская область сохранила свою позицию в высшем уровне рейтинга по качеству проведения оценки регулирующего воздействия.</w:t>
      </w:r>
    </w:p>
    <w:p w:rsidR="00FD068E" w:rsidRDefault="00870FC7" w:rsidP="00DE4BDF">
      <w:pPr>
        <w:jc w:val="both"/>
      </w:pPr>
    </w:p>
    <w:sectPr w:rsidR="00FD068E" w:rsidSect="00186952">
      <w:pgSz w:w="11906" w:h="16838"/>
      <w:pgMar w:top="993" w:right="851" w:bottom="127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01"/>
    <w:rsid w:val="00111D2D"/>
    <w:rsid w:val="00126A23"/>
    <w:rsid w:val="003228ED"/>
    <w:rsid w:val="003C4D7C"/>
    <w:rsid w:val="003F628F"/>
    <w:rsid w:val="00533407"/>
    <w:rsid w:val="005E02F0"/>
    <w:rsid w:val="006B4BC2"/>
    <w:rsid w:val="006B56D8"/>
    <w:rsid w:val="00740E0D"/>
    <w:rsid w:val="00772356"/>
    <w:rsid w:val="00783F79"/>
    <w:rsid w:val="00822552"/>
    <w:rsid w:val="00870FC7"/>
    <w:rsid w:val="00B70FE6"/>
    <w:rsid w:val="00C009E5"/>
    <w:rsid w:val="00DE4BDF"/>
    <w:rsid w:val="00F2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01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F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F0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723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01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F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F0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72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lenreg.ru/proje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n.lenobl.ru/ru/budget/obyazatelnye-trebovani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292764330384626E-4"/>
          <c:y val="0.11856130924810869"/>
          <c:w val="0.58616067913385828"/>
          <c:h val="0.6968429689442071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Заключения об ОРВ за период с 01.01.2022 по 31.12.2022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положительные заключения об ОРВ </c:v>
                </c:pt>
                <c:pt idx="1">
                  <c:v>отрицательные заключения об ОРВ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56</c:v>
                </c:pt>
                <c:pt idx="1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579884811333252"/>
          <c:y val="5.328803244694276E-2"/>
          <c:w val="0.3151769642170722"/>
          <c:h val="0.3778492688413948"/>
        </c:manualLayout>
      </c:layout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положительные заключения </c:v>
                </c:pt>
                <c:pt idx="1">
                  <c:v>отрицательные заключения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Елена Викторовна Конинина</cp:lastModifiedBy>
  <cp:revision>3</cp:revision>
  <dcterms:created xsi:type="dcterms:W3CDTF">2024-01-17T11:55:00Z</dcterms:created>
  <dcterms:modified xsi:type="dcterms:W3CDTF">2024-01-19T12:53:00Z</dcterms:modified>
</cp:coreProperties>
</file>